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  <w:rPr>
          <w:lang w:val="en-US"/>
        </w:rPr>
      </w:pPr>
      <w:r>
        <w:t>ІНФОРМАЦІЙНА КАРТКА</w:t>
      </w:r>
    </w:p>
    <w:p w:rsidR="0051758D" w:rsidRPr="0051758D" w:rsidRDefault="0051758D" w:rsidP="0051758D">
      <w:pPr>
        <w:jc w:val="right"/>
        <w:rPr>
          <w:lang w:val="en-US"/>
        </w:rPr>
      </w:pPr>
      <w:r>
        <w:t>Шифр послуги</w:t>
      </w:r>
      <w:r>
        <w:rPr>
          <w:lang w:val="en-US"/>
        </w:rPr>
        <w:t xml:space="preserve"> *</w:t>
      </w:r>
    </w:p>
    <w:p w:rsidR="00EC1B18" w:rsidRDefault="007C2631" w:rsidP="000A5387">
      <w:pPr>
        <w:spacing w:after="0" w:line="240" w:lineRule="auto"/>
        <w:jc w:val="center"/>
        <w:rPr>
          <w:color w:val="FF0000"/>
          <w:sz w:val="28"/>
          <w:szCs w:val="28"/>
          <w:lang w:val="en-US" w:eastAsia="uk-UA"/>
        </w:rPr>
      </w:pPr>
      <w:r w:rsidRPr="007C2631">
        <w:rPr>
          <w:sz w:val="28"/>
          <w:szCs w:val="28"/>
        </w:rPr>
        <w:t>Продаж земельної ділянки комунальної власності (за зверненням особи)</w:t>
      </w:r>
      <w:r>
        <w:rPr>
          <w:color w:val="FF0000"/>
          <w:sz w:val="28"/>
          <w:szCs w:val="28"/>
          <w:lang w:eastAsia="uk-UA"/>
        </w:rPr>
        <w:t xml:space="preserve"> </w:t>
      </w:r>
    </w:p>
    <w:p w:rsidR="0051758D" w:rsidRPr="0051758D" w:rsidRDefault="0051758D" w:rsidP="000A5387">
      <w:pPr>
        <w:spacing w:after="0" w:line="240" w:lineRule="auto"/>
        <w:jc w:val="center"/>
        <w:rPr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D322D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  <w:p w:rsidR="00EC1B18" w:rsidRDefault="00EC1B18" w:rsidP="00EC1B18">
            <w:pPr>
              <w:snapToGrid w:val="0"/>
              <w:spacing w:after="0" w:line="240" w:lineRule="auto"/>
              <w:jc w:val="both"/>
            </w:pP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DD5E34" w:rsidRDefault="00A57CA3" w:rsidP="007C2631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  <w:rPr>
                <w:color w:val="000000" w:themeColor="text1"/>
                <w:spacing w:val="-2"/>
              </w:rPr>
            </w:pPr>
            <w:r w:rsidRPr="00DD5E34">
              <w:rPr>
                <w:color w:val="000000" w:themeColor="text1"/>
                <w:spacing w:val="-2"/>
              </w:rPr>
              <w:t>1.</w:t>
            </w:r>
            <w:r w:rsidRPr="00DD5E34">
              <w:rPr>
                <w:b/>
                <w:color w:val="000000" w:themeColor="text1"/>
                <w:spacing w:val="-2"/>
              </w:rPr>
              <w:t>Заява</w:t>
            </w:r>
            <w:r w:rsidR="00FA3C46">
              <w:rPr>
                <w:color w:val="000000" w:themeColor="text1"/>
                <w:spacing w:val="-2"/>
              </w:rPr>
              <w:t>.</w:t>
            </w:r>
          </w:p>
          <w:p w:rsidR="007C2631" w:rsidRPr="00DD5E34" w:rsidRDefault="00FA3C46" w:rsidP="007C2631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</w:pPr>
            <w:r>
              <w:rPr>
                <w:color w:val="000000"/>
                <w:spacing w:val="-3"/>
              </w:rPr>
              <w:t xml:space="preserve">2. </w:t>
            </w:r>
            <w:r w:rsidRPr="00E21327">
              <w:rPr>
                <w:b/>
                <w:color w:val="000000"/>
                <w:spacing w:val="-3"/>
              </w:rPr>
              <w:t>Копія установчих документів</w:t>
            </w:r>
            <w:r>
              <w:rPr>
                <w:color w:val="000000"/>
                <w:spacing w:val="-3"/>
              </w:rPr>
              <w:t xml:space="preserve"> для юридичної особи, а для громадянина - </w:t>
            </w:r>
            <w:r w:rsidRPr="00E21327">
              <w:rPr>
                <w:b/>
                <w:color w:val="000000"/>
                <w:spacing w:val="-3"/>
              </w:rPr>
              <w:t>копія документа, що посвідчує особу</w:t>
            </w:r>
          </w:p>
          <w:p w:rsidR="00DD5E34" w:rsidRPr="00DD5E34" w:rsidRDefault="00347523" w:rsidP="007C2631">
            <w:pPr>
              <w:tabs>
                <w:tab w:val="left" w:pos="240"/>
              </w:tabs>
              <w:spacing w:after="0" w:line="240" w:lineRule="auto"/>
              <w:jc w:val="both"/>
            </w:pPr>
            <w:r w:rsidRPr="00347523">
              <w:rPr>
                <w:i/>
              </w:rPr>
              <w:t>У разі наявності</w:t>
            </w:r>
            <w:r w:rsidR="00DD5E34" w:rsidRPr="00DD5E34">
              <w:t>:</w:t>
            </w:r>
          </w:p>
          <w:p w:rsidR="00DD5E34" w:rsidRPr="00E21327" w:rsidRDefault="00347523" w:rsidP="007C2631">
            <w:pPr>
              <w:tabs>
                <w:tab w:val="left" w:pos="240"/>
              </w:tabs>
              <w:spacing w:after="0" w:line="240" w:lineRule="auto"/>
              <w:jc w:val="both"/>
              <w:rPr>
                <w:i/>
              </w:rPr>
            </w:pPr>
            <w:r w:rsidRPr="00347523">
              <w:t>3.</w:t>
            </w:r>
            <w:r w:rsidR="004A4145" w:rsidRPr="00DD5E34">
              <w:t xml:space="preserve"> </w:t>
            </w:r>
            <w:r w:rsidR="004A4145" w:rsidRPr="00E21327">
              <w:rPr>
                <w:b/>
              </w:rPr>
              <w:t>Документ, що посвідчує право користування земельною ділянкою</w:t>
            </w:r>
            <w:r w:rsidR="00FA3C46">
              <w:t xml:space="preserve">, та </w:t>
            </w:r>
            <w:r w:rsidR="00FA3C46" w:rsidRPr="00E21327">
              <w:rPr>
                <w:b/>
              </w:rPr>
              <w:t>документи, що посвідчують право власності на нерухоме майно</w:t>
            </w:r>
            <w:r w:rsidR="00FA3C46">
              <w:t xml:space="preserve"> (будівлі та споруди), розташоване на цій земельній ділянці </w:t>
            </w:r>
            <w:r w:rsidR="00FA3C46" w:rsidRPr="00E21327">
              <w:rPr>
                <w:i/>
              </w:rPr>
              <w:t>(у разі наявності на земельній ділянці будівель, споруд).</w:t>
            </w:r>
          </w:p>
          <w:p w:rsidR="00DD5E34" w:rsidRPr="00DD5E34" w:rsidRDefault="00FA3C46" w:rsidP="007C2631">
            <w:pPr>
              <w:tabs>
                <w:tab w:val="left" w:pos="240"/>
              </w:tabs>
              <w:spacing w:after="0" w:line="240" w:lineRule="auto"/>
              <w:jc w:val="both"/>
            </w:pPr>
            <w:r>
              <w:t>А також:</w:t>
            </w:r>
          </w:p>
          <w:p w:rsidR="007C2631" w:rsidRPr="00DD5E34" w:rsidRDefault="00347523" w:rsidP="007C2631">
            <w:pPr>
              <w:tabs>
                <w:tab w:val="left" w:pos="240"/>
              </w:tabs>
              <w:spacing w:after="0" w:line="240" w:lineRule="auto"/>
              <w:jc w:val="both"/>
            </w:pPr>
            <w:r w:rsidRPr="00347523">
              <w:t>4</w:t>
            </w:r>
            <w:r w:rsidR="009D4101" w:rsidRPr="00DD5E34">
              <w:t xml:space="preserve">. </w:t>
            </w:r>
            <w:r w:rsidR="009D4101" w:rsidRPr="00DD5E34">
              <w:rPr>
                <w:b/>
              </w:rPr>
              <w:t>Проект землеустрою</w:t>
            </w:r>
            <w:r w:rsidR="009D4101" w:rsidRPr="00DD5E34">
              <w:t xml:space="preserve"> щодо відведення земельної ділянки (з проставленою Державним кадастровим реєстратором позначкою про проведення  перевірки електронного документа та внесення відомостей до Державного земельного кад</w:t>
            </w:r>
            <w:r w:rsidR="00FA3C46">
              <w:t xml:space="preserve">астру </w:t>
            </w:r>
          </w:p>
          <w:p w:rsidR="007C2631" w:rsidRPr="00DD5E34" w:rsidRDefault="00FA3C46" w:rsidP="007C2631">
            <w:pPr>
              <w:tabs>
                <w:tab w:val="left" w:pos="240"/>
              </w:tabs>
              <w:spacing w:after="0" w:line="240" w:lineRule="auto"/>
              <w:jc w:val="both"/>
            </w:pPr>
            <w:r>
              <w:rPr>
                <w:i/>
              </w:rPr>
              <w:t>(подається, якщо відповідний проект землеустрою на земельну ділянку раніше не розроблявся та не затверджувався, а земельна ділянка не була сформована)</w:t>
            </w:r>
            <w:r>
              <w:t xml:space="preserve"> </w:t>
            </w:r>
            <w:r>
              <w:rPr>
                <w:i/>
                <w:iCs/>
              </w:rPr>
              <w:t>(оригінал)</w:t>
            </w:r>
            <w:r>
              <w:t>.</w:t>
            </w:r>
          </w:p>
          <w:p w:rsidR="007C2631" w:rsidRPr="00DD5E34" w:rsidRDefault="00FA3C46" w:rsidP="007C2631">
            <w:pPr>
              <w:tabs>
                <w:tab w:val="left" w:pos="240"/>
              </w:tabs>
              <w:spacing w:after="0" w:line="240" w:lineRule="auto"/>
              <w:jc w:val="both"/>
              <w:rPr>
                <w:i/>
              </w:rPr>
            </w:pPr>
            <w:r>
              <w:t>5.</w:t>
            </w:r>
            <w:r w:rsidR="00347523" w:rsidRPr="00347523">
              <w:t xml:space="preserve"> </w:t>
            </w:r>
            <w:r w:rsidR="009D4101" w:rsidRPr="00DD5E34">
              <w:rPr>
                <w:b/>
              </w:rPr>
              <w:t>Витяг</w:t>
            </w:r>
            <w:r w:rsidR="009D4101" w:rsidRPr="00DD5E34">
              <w:t xml:space="preserve"> з Державного земельного кадастру про земельну ділянку </w:t>
            </w:r>
            <w:r w:rsidR="009D4101" w:rsidRPr="00DD5E34">
              <w:rPr>
                <w:i/>
                <w:iCs/>
              </w:rPr>
              <w:t>(оригінал)</w:t>
            </w:r>
            <w:r w:rsidR="009D4101" w:rsidRPr="00DD5E34">
              <w:t>.</w:t>
            </w:r>
            <w:r w:rsidR="00347523" w:rsidRPr="00347523">
              <w:t xml:space="preserve"> </w:t>
            </w:r>
            <w:r w:rsidR="00347523" w:rsidRPr="00347523">
              <w:rPr>
                <w:i/>
              </w:rPr>
              <w:t>Або замовлення у ЦНАП (за можливості).</w:t>
            </w:r>
          </w:p>
          <w:p w:rsidR="007C2631" w:rsidRPr="00DD5E34" w:rsidRDefault="009D4101" w:rsidP="007C2631">
            <w:pPr>
              <w:tabs>
                <w:tab w:val="left" w:pos="240"/>
              </w:tabs>
              <w:spacing w:after="0" w:line="240" w:lineRule="auto"/>
              <w:jc w:val="both"/>
            </w:pPr>
            <w:r w:rsidRPr="00DD5E34">
              <w:t xml:space="preserve">6. </w:t>
            </w:r>
            <w:r w:rsidRPr="00DD5E34">
              <w:rPr>
                <w:b/>
              </w:rPr>
              <w:t>Звіт про експертну грошову оцінку</w:t>
            </w:r>
            <w:r w:rsidRPr="00DD5E34">
              <w:t xml:space="preserve"> земельної ділянки </w:t>
            </w:r>
            <w:r w:rsidR="00FA3C46">
              <w:rPr>
                <w:i/>
                <w:iCs/>
              </w:rPr>
              <w:t>(оригінал)</w:t>
            </w:r>
            <w:r w:rsidR="00FA3C46">
              <w:t>.</w:t>
            </w:r>
          </w:p>
          <w:p w:rsidR="007C2631" w:rsidRPr="00DD5E34" w:rsidRDefault="00FA3C46" w:rsidP="007C2631">
            <w:pPr>
              <w:tabs>
                <w:tab w:val="left" w:pos="240"/>
              </w:tabs>
              <w:spacing w:after="0" w:line="240" w:lineRule="auto"/>
              <w:jc w:val="both"/>
            </w:pPr>
            <w:r>
              <w:t xml:space="preserve">7. </w:t>
            </w:r>
            <w:r>
              <w:rPr>
                <w:b/>
              </w:rPr>
              <w:t>Висновок державної експертизи звіту</w:t>
            </w:r>
            <w:r>
              <w:t xml:space="preserve"> про експертну грошову оцінку земельної ділянки </w:t>
            </w:r>
            <w:r>
              <w:rPr>
                <w:i/>
                <w:iCs/>
              </w:rPr>
              <w:t>(оригінал)</w:t>
            </w:r>
            <w:r>
              <w:t>.</w:t>
            </w:r>
          </w:p>
          <w:p w:rsidR="007C2631" w:rsidRPr="00DD5E34" w:rsidRDefault="00FA3C46" w:rsidP="007C2631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</w:pPr>
            <w:r>
              <w:t xml:space="preserve">8. </w:t>
            </w:r>
            <w:r>
              <w:rPr>
                <w:b/>
              </w:rPr>
              <w:t>Графічний додаток до рішення</w:t>
            </w:r>
            <w:r>
              <w:t xml:space="preserve">, розроблений на актуальній </w:t>
            </w:r>
            <w:r>
              <w:rPr>
                <w:spacing w:val="-2"/>
              </w:rPr>
              <w:t xml:space="preserve">топографо-геодезичній зйомці землевпорядною організацією </w:t>
            </w:r>
            <w:r>
              <w:rPr>
                <w:i/>
                <w:iCs/>
                <w:spacing w:val="-2"/>
              </w:rPr>
              <w:t>(оригінал)</w:t>
            </w:r>
            <w:r>
              <w:t>.</w:t>
            </w:r>
          </w:p>
          <w:p w:rsidR="00690FE8" w:rsidRPr="00DD5E34" w:rsidRDefault="00347523" w:rsidP="007C2631">
            <w:pPr>
              <w:tabs>
                <w:tab w:val="left" w:pos="240"/>
              </w:tabs>
              <w:spacing w:after="0" w:line="240" w:lineRule="auto"/>
              <w:jc w:val="both"/>
              <w:rPr>
                <w:i/>
                <w:color w:val="000000" w:themeColor="text1"/>
              </w:rPr>
            </w:pPr>
            <w:r w:rsidRPr="00347523">
              <w:rPr>
                <w:i/>
                <w:color w:val="000000" w:themeColor="text1"/>
              </w:rPr>
              <w:t>У разі якщо документи подаються представником</w:t>
            </w:r>
            <w:r w:rsidRPr="00347523">
              <w:rPr>
                <w:b/>
                <w:i/>
                <w:color w:val="000000" w:themeColor="text1"/>
              </w:rPr>
              <w:t xml:space="preserve"> </w:t>
            </w:r>
            <w:r w:rsidR="009D4101" w:rsidRPr="00DD5E34">
              <w:rPr>
                <w:b/>
                <w:i/>
                <w:color w:val="000000" w:themeColor="text1"/>
              </w:rPr>
              <w:t xml:space="preserve"> </w:t>
            </w:r>
            <w:r w:rsidR="009D4101" w:rsidRPr="00DD5E34">
              <w:rPr>
                <w:i/>
                <w:color w:val="000000" w:themeColor="text1"/>
              </w:rPr>
              <w:t>додатково</w:t>
            </w:r>
            <w:r w:rsidR="009D4101" w:rsidRPr="00DD5E34">
              <w:rPr>
                <w:b/>
                <w:i/>
                <w:color w:val="000000" w:themeColor="text1"/>
              </w:rPr>
              <w:t>:</w:t>
            </w:r>
          </w:p>
          <w:p w:rsidR="007542E9" w:rsidRDefault="00347523" w:rsidP="007C2631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347523">
              <w:rPr>
                <w:color w:val="000000" w:themeColor="text1"/>
              </w:rPr>
              <w:t>9</w:t>
            </w:r>
            <w:r w:rsidR="009D4101" w:rsidRPr="00DD5E34">
              <w:rPr>
                <w:color w:val="000000" w:themeColor="text1"/>
              </w:rPr>
              <w:t>.</w:t>
            </w:r>
            <w:r w:rsidRPr="00347523">
              <w:rPr>
                <w:color w:val="000000" w:themeColor="text1"/>
              </w:rPr>
              <w:t xml:space="preserve"> </w:t>
            </w:r>
            <w:r w:rsidR="009D4101" w:rsidRPr="00DD5E34">
              <w:rPr>
                <w:b/>
                <w:color w:val="000000" w:themeColor="text1"/>
              </w:rPr>
              <w:t xml:space="preserve">Довіреність </w:t>
            </w:r>
            <w:r w:rsidR="009D4101" w:rsidRPr="00DD5E34">
              <w:rPr>
                <w:i/>
                <w:color w:val="000000" w:themeColor="text1"/>
              </w:rPr>
              <w:t>(оригінал та нотаріально посвідчена копія)</w:t>
            </w:r>
            <w:r w:rsidR="009D4101" w:rsidRPr="00DD5E34">
              <w:rPr>
                <w:color w:val="000000" w:themeColor="text1"/>
              </w:rPr>
              <w:t xml:space="preserve">. </w:t>
            </w:r>
          </w:p>
          <w:p w:rsidR="00690FE8" w:rsidRPr="00DD5E34" w:rsidRDefault="00347523" w:rsidP="007C2631">
            <w:pPr>
              <w:tabs>
                <w:tab w:val="left" w:pos="240"/>
              </w:tabs>
              <w:spacing w:after="0" w:line="240" w:lineRule="auto"/>
              <w:jc w:val="both"/>
              <w:rPr>
                <w:sz w:val="28"/>
                <w:szCs w:val="28"/>
              </w:rPr>
            </w:pPr>
            <w:r w:rsidRPr="00347523">
              <w:rPr>
                <w:color w:val="000000" w:themeColor="text1"/>
              </w:rPr>
              <w:t>10</w:t>
            </w:r>
            <w:r w:rsidR="009D4101" w:rsidRPr="00DD5E34">
              <w:rPr>
                <w:color w:val="000000" w:themeColor="text1"/>
              </w:rPr>
              <w:t>.</w:t>
            </w:r>
            <w:r w:rsidRPr="00347523">
              <w:rPr>
                <w:color w:val="000000" w:themeColor="text1"/>
              </w:rPr>
              <w:t xml:space="preserve"> </w:t>
            </w:r>
            <w:r w:rsidR="009D4101" w:rsidRPr="00DD5E34">
              <w:rPr>
                <w:b/>
                <w:color w:val="000000" w:themeColor="text1"/>
              </w:rPr>
              <w:t xml:space="preserve">Паспорт </w:t>
            </w:r>
            <w:r w:rsidR="009D4101" w:rsidRPr="00DD5E34">
              <w:rPr>
                <w:color w:val="000000" w:themeColor="text1"/>
              </w:rPr>
              <w:t>громадянина України</w:t>
            </w:r>
            <w:r w:rsidR="00FA3C46">
              <w:rPr>
                <w:color w:val="000000" w:themeColor="text1"/>
              </w:rPr>
              <w:t>.</w:t>
            </w:r>
          </w:p>
          <w:p w:rsidR="00B13A77" w:rsidRPr="00DD5E34" w:rsidRDefault="00B13A77" w:rsidP="0062567B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Default="00B13A77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8A9" w:rsidRPr="005748A9" w:rsidRDefault="005748A9" w:rsidP="005748A9">
            <w:pPr>
              <w:widowControl w:val="0"/>
              <w:shd w:val="clear" w:color="auto" w:fill="FFFFFF"/>
              <w:tabs>
                <w:tab w:val="left" w:pos="-2778"/>
              </w:tabs>
              <w:autoSpaceDE w:val="0"/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  <w:color w:val="FF0000"/>
              </w:rPr>
            </w:pPr>
            <w:r>
              <w:rPr>
                <w:rStyle w:val="rvts0"/>
              </w:rPr>
              <w:t xml:space="preserve">Рішення </w:t>
            </w:r>
            <w:r w:rsidR="00400042">
              <w:rPr>
                <w:rStyle w:val="rvts0"/>
              </w:rPr>
              <w:t xml:space="preserve">місцевої ради </w:t>
            </w:r>
            <w:r>
              <w:rPr>
                <w:rStyle w:val="rvts0"/>
              </w:rPr>
              <w:t>про продаж земельної ділянки</w:t>
            </w:r>
            <w:r w:rsidR="00400042">
              <w:rPr>
                <w:rStyle w:val="rvts0"/>
              </w:rPr>
              <w:t xml:space="preserve"> 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523" w:rsidRDefault="004A4145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/>
              <w:jc w:val="both"/>
              <w:rPr>
                <w:spacing w:val="-2"/>
              </w:rPr>
            </w:pPr>
            <w:r>
              <w:rPr>
                <w:spacing w:val="-2"/>
              </w:rPr>
              <w:t>1 місяць</w:t>
            </w:r>
            <w:r w:rsidR="00D0480B">
              <w:rPr>
                <w:spacing w:val="-2"/>
              </w:rPr>
              <w:t xml:space="preserve"> (та</w:t>
            </w:r>
            <w:r w:rsidR="00C673DF">
              <w:rPr>
                <w:spacing w:val="-2"/>
              </w:rPr>
              <w:t xml:space="preserve"> враховуючи </w:t>
            </w:r>
            <w:r w:rsidR="00D0480B">
              <w:rPr>
                <w:spacing w:val="-2"/>
              </w:rPr>
              <w:t>строк</w:t>
            </w:r>
            <w:r w:rsidR="00C673DF">
              <w:rPr>
                <w:spacing w:val="-2"/>
              </w:rPr>
              <w:t xml:space="preserve"> на проведення </w:t>
            </w:r>
            <w:r w:rsidR="00D0480B">
              <w:rPr>
                <w:spacing w:val="-2"/>
              </w:rPr>
              <w:t xml:space="preserve">засідання </w:t>
            </w:r>
            <w:r w:rsidR="00C673DF">
              <w:rPr>
                <w:spacing w:val="-2"/>
              </w:rPr>
              <w:t>місцевої ради).</w:t>
            </w:r>
          </w:p>
        </w:tc>
      </w:tr>
      <w:tr w:rsidR="00B13A77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DD5E34" w:rsidRDefault="009D4101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DD5E34">
              <w:t>На вибір особи:</w:t>
            </w:r>
          </w:p>
          <w:p w:rsidR="00A57CA3" w:rsidRPr="00DD5E34" w:rsidRDefault="009D4101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 w:rsidRPr="00DD5E34">
              <w:t>1.</w:t>
            </w:r>
            <w:r w:rsidR="00347523" w:rsidRPr="00347523">
              <w:t xml:space="preserve"> </w:t>
            </w:r>
            <w:r w:rsidRPr="00DD5E34">
              <w:t xml:space="preserve">Особисто в тому числі через представника за довіреністю (з посвідченням особи). </w:t>
            </w:r>
          </w:p>
          <w:p w:rsidR="00347523" w:rsidRDefault="00FA3C46" w:rsidP="00347523">
            <w:pPr>
              <w:tabs>
                <w:tab w:val="left" w:pos="6264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  <w:r>
              <w:t>2.</w:t>
            </w:r>
            <w:r w:rsidR="00347523" w:rsidRPr="00347523">
              <w:t xml:space="preserve"> </w:t>
            </w:r>
            <w:r w:rsidR="009D4101" w:rsidRPr="00DD5E34">
              <w:t>Поштою.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2E00" w:rsidRDefault="00C8006E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1.</w:t>
            </w:r>
            <w:r>
              <w:rPr>
                <w:rFonts w:ascii="Calibri" w:eastAsia="SimSun" w:hAnsi="Calibri" w:cs="Times New Roman"/>
                <w:szCs w:val="28"/>
              </w:rPr>
              <w:t xml:space="preserve"> </w:t>
            </w:r>
            <w:r w:rsidR="00792E00">
              <w:t>Закон</w:t>
            </w:r>
            <w:r w:rsidR="00792E00">
              <w:rPr>
                <w:rFonts w:ascii="Calibri" w:eastAsia="Calibri" w:hAnsi="Calibri" w:cs="Times New Roman"/>
              </w:rPr>
              <w:t xml:space="preserve"> України «Про місцеве самоврядування в Україні»</w:t>
            </w:r>
            <w:r w:rsidR="00792E00">
              <w:t xml:space="preserve"> </w:t>
            </w:r>
            <w:r w:rsidR="00792E00" w:rsidRPr="00792E00">
              <w:t xml:space="preserve">від 21.05.1997 </w:t>
            </w:r>
            <w:r w:rsidR="00DD5E34">
              <w:t>р.</w:t>
            </w:r>
            <w:r w:rsidR="00792E00">
              <w:t xml:space="preserve"> (</w:t>
            </w:r>
            <w:r w:rsidR="00792E00">
              <w:rPr>
                <w:rFonts w:eastAsia="SimSun"/>
              </w:rPr>
              <w:t>стаття</w:t>
            </w:r>
            <w:r w:rsidR="00792E00">
              <w:rPr>
                <w:rFonts w:ascii="Calibri" w:eastAsia="SimSun" w:hAnsi="Calibri" w:cs="Times New Roman"/>
              </w:rPr>
              <w:t xml:space="preserve"> 26)</w:t>
            </w:r>
            <w:r w:rsidR="00792E00">
              <w:rPr>
                <w:rFonts w:ascii="Calibri" w:eastAsia="Calibri" w:hAnsi="Calibri" w:cs="Times New Roman"/>
              </w:rPr>
              <w:t>.</w:t>
            </w:r>
          </w:p>
          <w:p w:rsidR="00C8006E" w:rsidRDefault="00792E00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eastAsia="SimSun"/>
              </w:rPr>
              <w:t>2.</w:t>
            </w:r>
            <w:r w:rsidR="00DD5E34">
              <w:rPr>
                <w:rFonts w:eastAsia="SimSun"/>
              </w:rPr>
              <w:t xml:space="preserve"> </w:t>
            </w:r>
            <w:r w:rsidR="00C8006E">
              <w:rPr>
                <w:rFonts w:eastAsia="SimSun"/>
              </w:rPr>
              <w:t>Земельний</w:t>
            </w:r>
            <w:r w:rsidR="009C1247">
              <w:rPr>
                <w:rFonts w:ascii="Calibri" w:eastAsia="SimSun" w:hAnsi="Calibri" w:cs="Times New Roman"/>
              </w:rPr>
              <w:t xml:space="preserve"> кодекс</w:t>
            </w:r>
            <w:r w:rsidR="00C8006E">
              <w:rPr>
                <w:rFonts w:ascii="Calibri" w:eastAsia="SimSun" w:hAnsi="Calibri" w:cs="Times New Roman"/>
              </w:rPr>
              <w:t xml:space="preserve"> України</w:t>
            </w:r>
            <w:r w:rsidR="00992FE1">
              <w:rPr>
                <w:rFonts w:eastAsia="SimSun"/>
              </w:rPr>
              <w:t xml:space="preserve"> </w:t>
            </w:r>
            <w:r w:rsidR="00992FE1" w:rsidRPr="00992FE1">
              <w:rPr>
                <w:rFonts w:eastAsia="SimSun"/>
              </w:rPr>
              <w:t xml:space="preserve">від 25.10.2001 </w:t>
            </w:r>
            <w:r w:rsidR="00DD5E34">
              <w:rPr>
                <w:rFonts w:eastAsia="SimSun"/>
              </w:rPr>
              <w:t>р.</w:t>
            </w:r>
            <w:r w:rsidR="00C8006E">
              <w:rPr>
                <w:rFonts w:eastAsia="SimSun"/>
              </w:rPr>
              <w:t xml:space="preserve"> </w:t>
            </w:r>
            <w:r w:rsidR="00A77204">
              <w:rPr>
                <w:rFonts w:eastAsia="SimSun"/>
              </w:rPr>
              <w:t xml:space="preserve">(статті </w:t>
            </w:r>
            <w:r w:rsidR="004C17A6">
              <w:t>12, 81,</w:t>
            </w:r>
            <w:r w:rsidR="00DD5E34">
              <w:t xml:space="preserve"> </w:t>
            </w:r>
            <w:r w:rsidR="004C17A6">
              <w:t>127, 128</w:t>
            </w:r>
            <w:r w:rsidR="00A77204">
              <w:t>)</w:t>
            </w:r>
            <w:r w:rsidR="00C8006E">
              <w:rPr>
                <w:rFonts w:ascii="Calibri" w:eastAsia="SimSun" w:hAnsi="Calibri" w:cs="Times New Roman"/>
              </w:rPr>
              <w:t>.</w:t>
            </w:r>
          </w:p>
          <w:p w:rsidR="00C8006E" w:rsidRDefault="00C8006E" w:rsidP="00C8006E">
            <w:pPr>
              <w:tabs>
                <w:tab w:val="left" w:pos="247"/>
              </w:tabs>
              <w:spacing w:after="0" w:line="240" w:lineRule="auto"/>
              <w:jc w:val="both"/>
              <w:rPr>
                <w:rFonts w:ascii="Calibri" w:eastAsia="SimSun" w:hAnsi="Calibri" w:cs="Times New Roman"/>
              </w:rPr>
            </w:pPr>
            <w:r>
              <w:rPr>
                <w:rFonts w:ascii="Calibri" w:eastAsia="SimSun" w:hAnsi="Calibri" w:cs="Times New Roman"/>
              </w:rPr>
              <w:t>3. Закон «Про землеустрій»</w:t>
            </w:r>
            <w:r w:rsidR="00CD06AE">
              <w:t xml:space="preserve"> </w:t>
            </w:r>
            <w:r w:rsidR="00CD06AE" w:rsidRPr="00CD06AE">
              <w:rPr>
                <w:rFonts w:ascii="Calibri" w:eastAsia="SimSun" w:hAnsi="Calibri" w:cs="Times New Roman"/>
              </w:rPr>
              <w:t xml:space="preserve">від 22.05.2003 </w:t>
            </w:r>
            <w:r w:rsidR="00DD5E34">
              <w:rPr>
                <w:rFonts w:ascii="Calibri" w:eastAsia="SimSun" w:hAnsi="Calibri" w:cs="Times New Roman"/>
              </w:rPr>
              <w:t>р.</w:t>
            </w:r>
            <w:r w:rsidR="00CD06AE">
              <w:rPr>
                <w:rFonts w:eastAsia="SimSun"/>
              </w:rPr>
              <w:t xml:space="preserve"> (статті </w:t>
            </w:r>
            <w:r w:rsidR="004C17A6">
              <w:rPr>
                <w:rFonts w:eastAsia="SimSun"/>
              </w:rPr>
              <w:t>19, 22, 50</w:t>
            </w:r>
            <w:r w:rsidR="00CD06AE">
              <w:rPr>
                <w:rFonts w:eastAsia="SimSun"/>
              </w:rPr>
              <w:t>)</w:t>
            </w:r>
            <w:r>
              <w:rPr>
                <w:rFonts w:ascii="Calibri" w:eastAsia="SimSun" w:hAnsi="Calibri" w:cs="Times New Roman"/>
              </w:rPr>
              <w:t>.</w:t>
            </w:r>
          </w:p>
          <w:p w:rsidR="004C17A6" w:rsidRPr="004C17A6" w:rsidRDefault="00CD06AE" w:rsidP="004C17A6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rPr>
                <w:rFonts w:ascii="Calibri" w:eastAsia="SimSun" w:hAnsi="Calibri" w:cs="Times New Roman"/>
              </w:rPr>
              <w:lastRenderedPageBreak/>
              <w:t xml:space="preserve">4. Закон «Про оцінку земель» </w:t>
            </w:r>
            <w:r w:rsidRPr="00CD06AE">
              <w:rPr>
                <w:rFonts w:ascii="Calibri" w:eastAsia="SimSun" w:hAnsi="Calibri" w:cs="Times New Roman"/>
              </w:rPr>
              <w:t xml:space="preserve">від 11.12.2003 </w:t>
            </w:r>
            <w:r w:rsidR="00DD5E34">
              <w:rPr>
                <w:rFonts w:ascii="Calibri" w:eastAsia="SimSun" w:hAnsi="Calibri" w:cs="Times New Roman"/>
              </w:rPr>
              <w:t>р.</w:t>
            </w:r>
            <w:r w:rsidRPr="00CD06AE">
              <w:rPr>
                <w:rFonts w:ascii="Calibri" w:eastAsia="SimSun" w:hAnsi="Calibri" w:cs="Times New Roman"/>
              </w:rPr>
              <w:t xml:space="preserve"> </w:t>
            </w:r>
            <w:r>
              <w:rPr>
                <w:rFonts w:ascii="Calibri" w:eastAsia="SimSun" w:hAnsi="Calibri" w:cs="Times New Roman"/>
              </w:rPr>
              <w:t>(статті 13, 21)</w:t>
            </w:r>
            <w:r w:rsidR="00175DDC">
              <w:rPr>
                <w:rFonts w:ascii="Calibri" w:eastAsia="SimSun" w:hAnsi="Calibri" w:cs="Times New Roman"/>
              </w:rPr>
              <w:t>.</w:t>
            </w:r>
          </w:p>
        </w:tc>
      </w:tr>
    </w:tbl>
    <w:p w:rsidR="000B45F8" w:rsidRDefault="0044644F" w:rsidP="004C17A6">
      <w:pPr>
        <w:pStyle w:val="a3"/>
        <w:numPr>
          <w:ilvl w:val="0"/>
          <w:numId w:val="2"/>
        </w:numPr>
        <w:spacing w:after="0" w:line="240" w:lineRule="auto"/>
      </w:pPr>
      <w:r>
        <w:lastRenderedPageBreak/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A5387"/>
    <w:rsid w:val="000B45F8"/>
    <w:rsid w:val="00123DE0"/>
    <w:rsid w:val="00137FB9"/>
    <w:rsid w:val="00175DDC"/>
    <w:rsid w:val="00190EF1"/>
    <w:rsid w:val="001C121D"/>
    <w:rsid w:val="00254260"/>
    <w:rsid w:val="00274550"/>
    <w:rsid w:val="002B5FC2"/>
    <w:rsid w:val="002E1285"/>
    <w:rsid w:val="00347523"/>
    <w:rsid w:val="003D78E4"/>
    <w:rsid w:val="00400042"/>
    <w:rsid w:val="00400D3F"/>
    <w:rsid w:val="00423F1C"/>
    <w:rsid w:val="0043651D"/>
    <w:rsid w:val="0044644F"/>
    <w:rsid w:val="004A4145"/>
    <w:rsid w:val="004C17A6"/>
    <w:rsid w:val="004C59F5"/>
    <w:rsid w:val="0051758D"/>
    <w:rsid w:val="005653CF"/>
    <w:rsid w:val="005748A9"/>
    <w:rsid w:val="005D7CE3"/>
    <w:rsid w:val="006154CB"/>
    <w:rsid w:val="0062567B"/>
    <w:rsid w:val="006551FC"/>
    <w:rsid w:val="00690FE8"/>
    <w:rsid w:val="006C3A3A"/>
    <w:rsid w:val="007542E9"/>
    <w:rsid w:val="00792DFA"/>
    <w:rsid w:val="00792E00"/>
    <w:rsid w:val="007C2631"/>
    <w:rsid w:val="00841279"/>
    <w:rsid w:val="008934FD"/>
    <w:rsid w:val="008B5A14"/>
    <w:rsid w:val="00941BB8"/>
    <w:rsid w:val="009575D6"/>
    <w:rsid w:val="00992FE1"/>
    <w:rsid w:val="009C1247"/>
    <w:rsid w:val="009C53FF"/>
    <w:rsid w:val="009D4101"/>
    <w:rsid w:val="00A455BB"/>
    <w:rsid w:val="00A57CA3"/>
    <w:rsid w:val="00A749C0"/>
    <w:rsid w:val="00A77204"/>
    <w:rsid w:val="00A96320"/>
    <w:rsid w:val="00AD3241"/>
    <w:rsid w:val="00B13A77"/>
    <w:rsid w:val="00B45D25"/>
    <w:rsid w:val="00B64F52"/>
    <w:rsid w:val="00C467DD"/>
    <w:rsid w:val="00C673DF"/>
    <w:rsid w:val="00C8006E"/>
    <w:rsid w:val="00CD06AE"/>
    <w:rsid w:val="00CE5B90"/>
    <w:rsid w:val="00D0480B"/>
    <w:rsid w:val="00D07068"/>
    <w:rsid w:val="00D322D7"/>
    <w:rsid w:val="00D4631B"/>
    <w:rsid w:val="00DB34AA"/>
    <w:rsid w:val="00DD5E34"/>
    <w:rsid w:val="00E21327"/>
    <w:rsid w:val="00E34A5E"/>
    <w:rsid w:val="00E76CDE"/>
    <w:rsid w:val="00EC1B18"/>
    <w:rsid w:val="00F736AB"/>
    <w:rsid w:val="00F92C01"/>
    <w:rsid w:val="00FA3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D322D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c">
    <w:name w:val="Тема примітки Знак"/>
    <w:basedOn w:val="a8"/>
    <w:link w:val="ab"/>
    <w:uiPriority w:val="99"/>
    <w:semiHidden/>
    <w:rsid w:val="00D322D7"/>
    <w:rPr>
      <w:b/>
      <w:bCs/>
    </w:rPr>
  </w:style>
  <w:style w:type="character" w:styleId="ad">
    <w:name w:val="Hyperlink"/>
    <w:basedOn w:val="a0"/>
    <w:uiPriority w:val="99"/>
    <w:unhideWhenUsed/>
    <w:rsid w:val="00D322D7"/>
    <w:rPr>
      <w:color w:val="0000FF" w:themeColor="hyperlink"/>
      <w:u w:val="single"/>
    </w:rPr>
  </w:style>
  <w:style w:type="character" w:customStyle="1" w:styleId="rvts0">
    <w:name w:val="rvts0"/>
    <w:basedOn w:val="a0"/>
    <w:rsid w:val="005748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1924A8-AD47-40F4-8D32-A81A5DDD4EC6}"/>
</file>

<file path=customXml/itemProps2.xml><?xml version="1.0" encoding="utf-8"?>
<ds:datastoreItem xmlns:ds="http://schemas.openxmlformats.org/officeDocument/2006/customXml" ds:itemID="{42F16D70-0392-4D46-ADE2-27E5B19D427C}"/>
</file>

<file path=customXml/itemProps3.xml><?xml version="1.0" encoding="utf-8"?>
<ds:datastoreItem xmlns:ds="http://schemas.openxmlformats.org/officeDocument/2006/customXml" ds:itemID="{BC862535-59D1-4830-B7DE-817A4F0EFF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1575</Words>
  <Characters>898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3</cp:revision>
  <dcterms:created xsi:type="dcterms:W3CDTF">2016-12-19T08:39:00Z</dcterms:created>
  <dcterms:modified xsi:type="dcterms:W3CDTF">2016-12-19T08:45:00Z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